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6E43" w14:textId="47477DE1" w:rsidR="002C356F" w:rsidRPr="000A4DCB" w:rsidRDefault="00EF1C3F" w:rsidP="00C9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</w:pPr>
      <w:bookmarkStart w:id="0" w:name="_GoBack"/>
      <w:bookmarkEnd w:id="0"/>
      <w:r w:rsidRPr="000A4DCB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 xml:space="preserve">TITLE </w:t>
      </w:r>
      <w:r w:rsidR="00C92523" w:rsidRPr="000A4DCB"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  <w:t>OF THE REPORT –</w:t>
      </w:r>
      <w:r w:rsidR="000A4DCB"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  <w:t xml:space="preserve"> </w:t>
      </w:r>
      <w:r w:rsidR="000A4DCB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14</w:t>
      </w:r>
      <w:r w:rsidR="000A4DCB"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  <w:t xml:space="preserve"> </w:t>
      </w:r>
      <w:proofErr w:type="spellStart"/>
      <w:r w:rsidR="000A4DCB"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  <w:t>pt</w:t>
      </w:r>
      <w:proofErr w:type="spellEnd"/>
      <w:r w:rsidRPr="000A4DCB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, BOLD, CENTERED, CAPITAL LETTERS</w:t>
      </w:r>
    </w:p>
    <w:p w14:paraId="7FE730CD" w14:textId="2DCD6B30" w:rsidR="002C356F" w:rsidRPr="000A4DCB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53D5FF3A" w14:textId="707F2059" w:rsidR="009A4F0C" w:rsidRPr="000A4DCB" w:rsidRDefault="00EF1C3F" w:rsidP="009A4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4D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NAME, SURNAME AND LAST NAME </w:t>
      </w:r>
      <w:r w:rsidR="009A4F0C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9A4F0C" w:rsidRPr="000A4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4F0C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 </w:t>
      </w:r>
      <w:proofErr w:type="spellStart"/>
      <w:r w:rsidR="009A4F0C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="009A4F0C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A4F0C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Bold</w:t>
      </w:r>
      <w:r w:rsidR="009A4F0C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 xml:space="preserve">, </w:t>
      </w:r>
      <w:r w:rsidR="009A4F0C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</w:t>
      </w:r>
      <w:r w:rsidR="009A4F0C" w:rsidRPr="000A4DC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4466595" w14:textId="1A84805E" w:rsidR="00EF1C3F" w:rsidRPr="000A4DCB" w:rsidRDefault="00EF1C3F" w:rsidP="00F6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Student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PhD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student</w:t>
      </w:r>
      <w:proofErr w:type="spellEnd"/>
      <w:r w:rsidR="009A4F0C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61A62" w:rsidRPr="000A4DC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pecialty</w:t>
      </w:r>
      <w:proofErr w:type="spellEnd"/>
      <w:r w:rsidR="009A4F0C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Scientific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specialty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PhD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students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A4F0C" w:rsidRPr="000A4DC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A4F0C" w:rsidRPr="000A4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Course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student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participants</w:t>
      </w:r>
      <w:proofErr w:type="spellEnd"/>
      <w:r w:rsidR="00F61A62" w:rsidRPr="000A4DC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University</w:t>
      </w:r>
      <w:proofErr w:type="spellEnd"/>
    </w:p>
    <w:p w14:paraId="3C95EA47" w14:textId="10A746FD" w:rsidR="002C356F" w:rsidRPr="000A4DCB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49170F7C" w14:textId="1455FA0A" w:rsidR="00A45D36" w:rsidRPr="000A4DCB" w:rsidRDefault="00F37DE0" w:rsidP="00A45D3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Abstract</w:t>
      </w:r>
      <w:r w:rsidR="002C356F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: </w:t>
      </w:r>
      <w:r w:rsidR="00F7490F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A45D36" w:rsidRPr="000A4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12 </w:t>
      </w:r>
      <w:proofErr w:type="spellStart"/>
      <w:r w:rsidR="00A45D36" w:rsidRPr="000A4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pt</w:t>
      </w:r>
      <w:proofErr w:type="spellEnd"/>
      <w:r w:rsidR="00A45D36" w:rsidRPr="000A4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, bold, italic)</w:t>
      </w:r>
    </w:p>
    <w:p w14:paraId="4779A3B5" w14:textId="5C7951D2" w:rsidR="002C356F" w:rsidRPr="000A4DCB" w:rsidRDefault="0043450F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abstract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r w:rsidR="005367B1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>must</w:t>
      </w:r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written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in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English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up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to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10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lines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.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It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consists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one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paragraph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includes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topics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questions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research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hypotheses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that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were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investigated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in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order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to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achieve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objective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.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abstract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also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comprises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topic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relevance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report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purpose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methods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main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outcomes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well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as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study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limitations</w:t>
      </w:r>
      <w:proofErr w:type="spellEnd"/>
      <w:r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.</w:t>
      </w:r>
      <w:r w:rsidR="005E1826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. </w:t>
      </w:r>
    </w:p>
    <w:p w14:paraId="208A3577" w14:textId="517E5DAF" w:rsidR="002C356F" w:rsidRPr="000A4DCB" w:rsidRDefault="003D54F1" w:rsidP="00A6023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Key words</w:t>
      </w:r>
      <w:r w:rsidR="002C356F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C356F"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42B73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B42B73"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hr-HR"/>
        </w:rPr>
        <w:t xml:space="preserve">12 </w:t>
      </w:r>
      <w:proofErr w:type="spellStart"/>
      <w:r w:rsidR="00B42B73"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pt</w:t>
      </w:r>
      <w:proofErr w:type="spellEnd"/>
      <w:r w:rsidR="00B42B73"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,</w:t>
      </w:r>
      <w:r w:rsidR="00B42B73"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hr-HR"/>
        </w:rPr>
        <w:t xml:space="preserve"> </w:t>
      </w:r>
      <w:r w:rsidR="00B42B73"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hr-HR"/>
        </w:rPr>
        <w:t xml:space="preserve">bold, </w:t>
      </w:r>
      <w:r w:rsidR="00B42B73" w:rsidRPr="000A4D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Italic</w:t>
      </w:r>
      <w:r w:rsidR="00B42B73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="000A4DCB" w:rsidRPr="000A4DC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hr-HR"/>
        </w:rPr>
        <w:t xml:space="preserve">: </w:t>
      </w:r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3 </w:t>
      </w:r>
      <w:proofErr w:type="spellStart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to</w:t>
      </w:r>
      <w:proofErr w:type="spellEnd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5 </w:t>
      </w:r>
      <w:proofErr w:type="spellStart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keywords</w:t>
      </w:r>
      <w:proofErr w:type="spellEnd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should</w:t>
      </w:r>
      <w:proofErr w:type="spellEnd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7055B7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noted</w:t>
      </w:r>
      <w:proofErr w:type="spellEnd"/>
    </w:p>
    <w:p w14:paraId="268D9D33" w14:textId="1DAC2106" w:rsidR="002C356F" w:rsidRPr="000A4DCB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6F7BA8A3" w14:textId="35535D5D" w:rsidR="002C356F" w:rsidRPr="000A4DCB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5A318210" w14:textId="7243D234" w:rsidR="002C356F" w:rsidRPr="000A4DCB" w:rsidRDefault="007055B7" w:rsidP="00A60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Introduction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</w:t>
      </w:r>
      <w:r w:rsidR="00A45D36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(</w:t>
      </w:r>
      <w:r w:rsidR="00A45D36"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bold</w:t>
      </w:r>
      <w:r w:rsidR="00D218A9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r w:rsidR="00D218A9" w:rsidRPr="000A4D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Justified</w:t>
      </w:r>
      <w:r w:rsidR="00A45D36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)</w:t>
      </w:r>
    </w:p>
    <w:p w14:paraId="2426F914" w14:textId="5935C5BC" w:rsidR="002C356F" w:rsidRPr="000A4DCB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##</w:t>
      </w:r>
    </w:p>
    <w:p w14:paraId="3E82DCC9" w14:textId="738EC231" w:rsidR="005367B1" w:rsidRPr="000A4DCB" w:rsidRDefault="005367B1" w:rsidP="001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introduction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361DF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points out</w:t>
      </w: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research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topicality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significance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purpose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research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questions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features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studied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object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should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clearly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formulated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. (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Times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New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Roman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12,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Single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).</w:t>
      </w:r>
    </w:p>
    <w:p w14:paraId="66DDE4B9" w14:textId="66B365D8" w:rsidR="000A4DCB" w:rsidRPr="000A4DCB" w:rsidRDefault="000A4DCB" w:rsidP="0099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361DF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total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report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leng</w:t>
      </w:r>
      <w:r w:rsidR="00361DF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th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should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between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8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to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12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pages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text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including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figures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tables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references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.</w:t>
      </w:r>
      <w:r w:rsidR="00361DF0" w:rsidRPr="00361DF0">
        <w:rPr>
          <w:rFonts w:ascii="Arial" w:hAnsi="Arial" w:cs="Arial"/>
          <w:color w:val="111111"/>
          <w:sz w:val="48"/>
          <w:szCs w:val="48"/>
          <w:shd w:val="clear" w:color="auto" w:fill="FFFFFF"/>
        </w:rPr>
        <w:t xml:space="preserve"> </w:t>
      </w:r>
    </w:p>
    <w:p w14:paraId="382705ED" w14:textId="6303D385" w:rsidR="0099015A" w:rsidRPr="00361DF0" w:rsidRDefault="000A4DCB" w:rsidP="003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References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must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Elsevier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-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Harvard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(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with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titles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)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style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mandatory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prepared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with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help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Zotero</w:t>
      </w:r>
      <w:proofErr w:type="spellEnd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.</w:t>
      </w:r>
      <w:r w:rsidR="0099015A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You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can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download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Zotero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by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following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this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link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: </w:t>
      </w:r>
      <w:hyperlink r:id="rId7" w:history="1">
        <w:r w:rsidR="00361DF0" w:rsidRPr="00A862C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bg-BG" w:eastAsia="pl-PL"/>
          </w:rPr>
          <w:t>https://www.zotero.org</w:t>
        </w:r>
      </w:hyperlink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.</w:t>
      </w:r>
      <w:r w:rsidR="00361DF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Citations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9472E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must</w:t>
      </w: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parentheses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with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reference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to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author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year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(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Vodenicharova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V., 2017) </w:t>
      </w: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or </w:t>
      </w:r>
      <w:r w:rsidR="0099015A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begin"/>
      </w:r>
      <w:r w:rsidR="0099015A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instrText xml:space="preserve"> ADDIN ZOTERO_ITEM CSL_CITATION {"citationID":"Kr8mj4lW","properties":{"formattedCitation":"(Rakovska, M., Ivanov, N., Vodenicharova, M., 2014)","plainCitation":"(Rakovska, M., Ivanov, N., Vodenicharova, M., 2014)","noteIndex":0},"citationItems":[{"id":98,"uris":["http://zotero.org/users/local/nX84S1jw/items/JHQHCD7U"],"uri":["http://zotero.org/users/local/nX84S1jw/items/JHQHCD7U"],"itemData":{"id":98,"type":"book","edition":"IK-UNWE","event-place":"Sofia","ISBN":"978-954-644-551-1","language":"български","publisher-place":"Sofia","title":"Logistics development in Bulgarian processing and trading companies","author":[{"literal":"Rakovska, M., Ivanov, N., Vodenicharova, M.,"}],"issued":{"date-parts":[["2014"]]}}}],"schema":"https://github.com/citation-style-language/schema/raw/master/csl-citation.json"} </w:instrText>
      </w:r>
      <w:r w:rsidR="0099015A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separate"/>
      </w:r>
      <w:r w:rsidR="0099015A" w:rsidRPr="000A4DCB">
        <w:rPr>
          <w:rFonts w:ascii="Times New Roman" w:hAnsi="Times New Roman" w:cs="Times New Roman"/>
          <w:sz w:val="24"/>
          <w:szCs w:val="24"/>
        </w:rPr>
        <w:t>(Rakovska, M., Ivanov, N., Vodenicharova, M., 2014)</w:t>
      </w:r>
      <w:r w:rsidR="0099015A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end"/>
      </w: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</w:t>
      </w:r>
    </w:p>
    <w:p w14:paraId="4F503675" w14:textId="1F5EBC39" w:rsidR="005E51E1" w:rsidRPr="000A4DCB" w:rsidRDefault="005E51E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3FCC485F" w14:textId="4414F839" w:rsidR="005E51E1" w:rsidRPr="000A4DCB" w:rsidRDefault="005E51E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73836BD6" w14:textId="5FBCE9D2" w:rsidR="005E51E1" w:rsidRPr="000A4DCB" w:rsidRDefault="00166C3B" w:rsidP="00A60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Heading</w:t>
      </w:r>
      <w:r w:rsidR="00454076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–</w:t>
      </w: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454076"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</w:t>
      </w:r>
      <w:r w:rsidR="005E51E1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12</w:t>
      </w:r>
      <w:proofErr w:type="spellStart"/>
      <w:r w:rsidR="00454076"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pt</w:t>
      </w:r>
      <w:proofErr w:type="spellEnd"/>
      <w:r w:rsidR="00454076"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, Justified)</w:t>
      </w:r>
    </w:p>
    <w:p w14:paraId="52DE3695" w14:textId="5A575C0D" w:rsidR="005E51E1" w:rsidRPr="000A4DCB" w:rsidRDefault="005E51E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7F70A76F" w14:textId="060059F0" w:rsidR="00C92523" w:rsidRPr="000A4DCB" w:rsidRDefault="00840DCC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present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instruction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example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of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main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text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body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a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conference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report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"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Infrastructure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: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Business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Communications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"</w:t>
      </w:r>
      <w:r w:rsidR="00FF34BF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following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page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setup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patrameters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D41185"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must</w:t>
      </w:r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used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: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Times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New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Roman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– 12,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single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spacing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A4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document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all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margins</w:t>
      </w:r>
      <w:proofErr w:type="spellEnd"/>
      <w:r w:rsidR="00C92523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: 2.5 cm.</w:t>
      </w:r>
    </w:p>
    <w:p w14:paraId="0719A65D" w14:textId="640B0CA1" w:rsidR="00D41185" w:rsidRPr="000A4DCB" w:rsidRDefault="00D41185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text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report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can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divided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in</w:t>
      </w:r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to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subsections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(</w:t>
      </w:r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2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spaces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12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bef</w:t>
      </w:r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ore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each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chapter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1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space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12 </w:t>
      </w:r>
      <w:proofErr w:type="spellStart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after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each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chapter</w:t>
      </w:r>
      <w:proofErr w:type="spellEnd"/>
      <w:r w:rsidR="005367B1"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)</w:t>
      </w: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.</w:t>
      </w:r>
    </w:p>
    <w:p w14:paraId="78C01E06" w14:textId="36B5220F" w:rsidR="00D41185" w:rsidRPr="000A4DCB" w:rsidRDefault="00D41185" w:rsidP="00D4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         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Numbering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subsections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(1., 2.)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subsections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two-level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i.e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1.1, 1.2, 2.1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is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recommended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to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used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.</w:t>
      </w:r>
    </w:p>
    <w:p w14:paraId="4673F1CA" w14:textId="05BE834F" w:rsidR="00D41185" w:rsidRPr="000A4DCB" w:rsidRDefault="00D41185" w:rsidP="00D4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         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All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tables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figures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must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be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correctly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cited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with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help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Zotero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(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Times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New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Roman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, 12, </w:t>
      </w:r>
      <w:proofErr w:type="spellStart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Single</w:t>
      </w:r>
      <w:proofErr w:type="spellEnd"/>
      <w:r w:rsidRPr="000A4DCB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).</w:t>
      </w:r>
    </w:p>
    <w:p w14:paraId="090E1F3D" w14:textId="1E192A2E" w:rsidR="00FF34BF" w:rsidRPr="000A4DCB" w:rsidRDefault="00FF34B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7AA953C1" w14:textId="168AD6CE" w:rsidR="00FF34BF" w:rsidRPr="000A4DCB" w:rsidRDefault="00166C3B" w:rsidP="00166C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Subsection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heading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bold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text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</w:t>
      </w:r>
      <w:r w:rsidR="00BB744B" w:rsidRPr="000A4DC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</w:p>
    <w:p w14:paraId="04A40141" w14:textId="0A80BF32" w:rsidR="004912A2" w:rsidRPr="000A4DCB" w:rsidRDefault="004912A2" w:rsidP="004912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1.1. </w:t>
      </w:r>
      <w:proofErr w:type="spellStart"/>
      <w:r w:rsidR="00166C3B"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Second</w:t>
      </w:r>
      <w:proofErr w:type="spellEnd"/>
      <w:r w:rsidR="00166C3B"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 </w:t>
      </w:r>
      <w:proofErr w:type="spellStart"/>
      <w:r w:rsidR="00166C3B"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level</w:t>
      </w:r>
      <w:proofErr w:type="spellEnd"/>
      <w:r w:rsidR="00166C3B"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 </w:t>
      </w:r>
      <w:proofErr w:type="spellStart"/>
      <w:r w:rsidR="00166C3B"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subheading</w:t>
      </w:r>
      <w:proofErr w:type="spellEnd"/>
      <w:r w:rsidR="00166C3B"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 </w:t>
      </w: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(12 </w:t>
      </w: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pt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, </w:t>
      </w:r>
      <w:r w:rsidRPr="000A4D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Bold</w:t>
      </w: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, </w:t>
      </w:r>
      <w:r w:rsidRPr="000A4D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Justified</w:t>
      </w: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)</w:t>
      </w:r>
    </w:p>
    <w:p w14:paraId="2816911A" w14:textId="77777777" w:rsidR="004912A2" w:rsidRPr="000A4DCB" w:rsidRDefault="004912A2" w:rsidP="0049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</w:p>
    <w:p w14:paraId="5441CE83" w14:textId="6B71FF8E" w:rsidR="00FF34BF" w:rsidRPr="000A4DCB" w:rsidRDefault="00FF34B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1032E2C6" w14:textId="1FE36DA9" w:rsidR="002C356F" w:rsidRPr="000A4DCB" w:rsidRDefault="00166C3B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Microsoft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Equation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Editor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create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equations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formulas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F0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be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used</w:t>
      </w:r>
      <w:proofErr w:type="spellEnd"/>
      <w:r w:rsidR="00456F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, 12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italic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formatting</w:t>
      </w:r>
      <w:proofErr w:type="spellEnd"/>
      <w:r w:rsidR="00456F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Number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equations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straight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type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Example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equation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CACE9C3" w14:textId="4D45D2D0" w:rsidR="00FC6FF4" w:rsidRPr="000A4DCB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A4DCB">
        <w:rPr>
          <w:rFonts w:ascii="Times New Roman" w:hAnsi="Times New Roman" w:cs="Times New Roman"/>
          <w:sz w:val="24"/>
          <w:szCs w:val="24"/>
        </w:rPr>
        <w:object w:dxaOrig="2180" w:dyaOrig="760" w14:anchorId="48338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38.35pt" o:ole="">
            <v:imagedata r:id="rId8" o:title=""/>
          </v:shape>
          <o:OLEObject Type="Embed" ProgID="Equation.3" ShapeID="_x0000_i1025" DrawAspect="Content" ObjectID="_1740215924" r:id="rId9"/>
        </w:object>
      </w:r>
    </w:p>
    <w:p w14:paraId="0AB56582" w14:textId="4495AC6E" w:rsidR="00FC6FF4" w:rsidRPr="000A4DCB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sz w:val="24"/>
          <w:szCs w:val="24"/>
        </w:rPr>
        <w:lastRenderedPageBreak/>
        <w:t>##</w:t>
      </w:r>
    </w:p>
    <w:p w14:paraId="3D04C0B8" w14:textId="764BC05E" w:rsidR="00FC6FF4" w:rsidRPr="000A4DCB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sz w:val="24"/>
          <w:szCs w:val="24"/>
        </w:rPr>
        <w:t>##</w:t>
      </w:r>
    </w:p>
    <w:p w14:paraId="540145EF" w14:textId="4C687C7B" w:rsidR="00FC6FF4" w:rsidRPr="000A4DCB" w:rsidRDefault="004A7F88" w:rsidP="00A6023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A4DCB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Tables</w:t>
      </w:r>
      <w:r w:rsidR="00E36D2E" w:rsidRPr="000A4D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7D815BCF" w14:textId="0158AD94" w:rsidR="009A752D" w:rsidRPr="000A4DCB" w:rsidRDefault="009A752D" w:rsidP="009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Each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table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606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have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its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own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title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that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centered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above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A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horizontal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text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direction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preferred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Tables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are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numbered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Arabic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numerals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6AC1F1D" w14:textId="77777777" w:rsidR="009A752D" w:rsidRPr="000A4DCB" w:rsidRDefault="009A752D" w:rsidP="009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Providing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source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below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table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mandatory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76E0FA" w14:textId="77910331" w:rsidR="009A752D" w:rsidRPr="00F6606D" w:rsidRDefault="009A752D" w:rsidP="00F6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example</w:t>
      </w:r>
      <w:proofErr w:type="spellEnd"/>
      <w:r w:rsidR="00166C3B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66C3B" w:rsidRPr="000A4DC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="00166C3B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C3B" w:rsidRPr="000A4DCB">
        <w:rPr>
          <w:rFonts w:ascii="Times New Roman" w:hAnsi="Times New Roman" w:cs="Times New Roman"/>
          <w:sz w:val="24"/>
          <w:szCs w:val="24"/>
          <w:lang w:val="en-US"/>
        </w:rPr>
        <w:t>suitable</w:t>
      </w:r>
      <w:r w:rsidR="00166C3B"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66C3B" w:rsidRPr="000A4DCB">
        <w:rPr>
          <w:rFonts w:ascii="Times New Roman" w:hAnsi="Times New Roman" w:cs="Times New Roman"/>
          <w:sz w:val="24"/>
          <w:szCs w:val="24"/>
          <w:lang w:val="bg-BG"/>
        </w:rPr>
        <w:t>table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shown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below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Table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1.</w:t>
      </w:r>
    </w:p>
    <w:p w14:paraId="64351A1E" w14:textId="0E5C8B34" w:rsidR="00FC6FF4" w:rsidRPr="000A4DCB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sz w:val="24"/>
          <w:szCs w:val="24"/>
        </w:rPr>
        <w:t>##</w:t>
      </w:r>
    </w:p>
    <w:p w14:paraId="44C499D9" w14:textId="4E724D72" w:rsidR="0048330D" w:rsidRPr="000A4DCB" w:rsidRDefault="009A752D" w:rsidP="0048330D">
      <w:pPr>
        <w:pStyle w:val="BodyTextIndent"/>
        <w:jc w:val="right"/>
        <w:rPr>
          <w:b/>
          <w:bCs/>
          <w:szCs w:val="24"/>
          <w:lang w:val="bg-BG"/>
        </w:rPr>
      </w:pPr>
      <w:r w:rsidRPr="000A4DCB">
        <w:rPr>
          <w:b/>
          <w:bCs/>
          <w:szCs w:val="24"/>
          <w:lang w:val="en-US"/>
        </w:rPr>
        <w:t>Table</w:t>
      </w:r>
      <w:r w:rsidR="0048330D" w:rsidRPr="000A4DCB">
        <w:rPr>
          <w:b/>
          <w:bCs/>
          <w:szCs w:val="24"/>
          <w:lang w:val="en-GB"/>
        </w:rPr>
        <w:t xml:space="preserve"> 1</w:t>
      </w:r>
      <w:r w:rsidR="0048330D" w:rsidRPr="000A4DCB">
        <w:rPr>
          <w:b/>
          <w:bCs/>
          <w:szCs w:val="24"/>
          <w:lang w:val="bg-BG"/>
        </w:rPr>
        <w:t>.</w:t>
      </w:r>
    </w:p>
    <w:p w14:paraId="7B7724A0" w14:textId="63ADA3A1" w:rsidR="00FC6FF4" w:rsidRPr="000A4DCB" w:rsidRDefault="009A752D" w:rsidP="00A60238">
      <w:pPr>
        <w:pStyle w:val="BodyTextIndent"/>
        <w:jc w:val="center"/>
        <w:rPr>
          <w:bCs/>
          <w:szCs w:val="24"/>
          <w:lang w:val="bg-BG"/>
        </w:rPr>
      </w:pPr>
      <w:proofErr w:type="spellStart"/>
      <w:r w:rsidRPr="000A4DCB">
        <w:rPr>
          <w:bCs/>
          <w:szCs w:val="24"/>
          <w:lang w:val="bg-BG"/>
        </w:rPr>
        <w:t>Critical</w:t>
      </w:r>
      <w:proofErr w:type="spellEnd"/>
      <w:r w:rsidRPr="000A4DCB">
        <w:rPr>
          <w:bCs/>
          <w:szCs w:val="24"/>
          <w:lang w:val="bg-BG"/>
        </w:rPr>
        <w:t xml:space="preserve"> </w:t>
      </w:r>
      <w:r w:rsidRPr="000A4DCB">
        <w:rPr>
          <w:bCs/>
          <w:szCs w:val="24"/>
          <w:lang w:val="en-US"/>
        </w:rPr>
        <w:t>gaps</w:t>
      </w:r>
      <w:r w:rsidRPr="000A4DCB">
        <w:rPr>
          <w:bCs/>
          <w:szCs w:val="24"/>
          <w:lang w:val="bg-BG"/>
        </w:rPr>
        <w:t xml:space="preserve"> </w:t>
      </w:r>
      <w:proofErr w:type="spellStart"/>
      <w:r w:rsidRPr="000A4DCB">
        <w:rPr>
          <w:bCs/>
          <w:szCs w:val="24"/>
          <w:lang w:val="bg-BG"/>
        </w:rPr>
        <w:t>values</w:t>
      </w:r>
      <w:proofErr w:type="spellEnd"/>
      <w:r w:rsidRPr="000A4DCB">
        <w:rPr>
          <w:bCs/>
          <w:szCs w:val="24"/>
          <w:lang w:val="bg-BG"/>
        </w:rPr>
        <w:t xml:space="preserve"> </w:t>
      </w:r>
      <w:proofErr w:type="spellStart"/>
      <w:r w:rsidRPr="000A4DCB">
        <w:rPr>
          <w:bCs/>
          <w:szCs w:val="24"/>
          <w:lang w:val="bg-BG"/>
        </w:rPr>
        <w:t>in</w:t>
      </w:r>
      <w:proofErr w:type="spellEnd"/>
      <w:r w:rsidRPr="000A4DCB">
        <w:rPr>
          <w:bCs/>
          <w:szCs w:val="24"/>
          <w:lang w:val="bg-BG"/>
        </w:rPr>
        <w:t xml:space="preserve"> </w:t>
      </w:r>
      <w:proofErr w:type="spellStart"/>
      <w:r w:rsidRPr="000A4DCB">
        <w:rPr>
          <w:bCs/>
          <w:szCs w:val="24"/>
          <w:lang w:val="bg-BG"/>
        </w:rPr>
        <w:t>research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415"/>
        <w:gridCol w:w="1497"/>
        <w:gridCol w:w="1848"/>
        <w:gridCol w:w="1549"/>
      </w:tblGrid>
      <w:tr w:rsidR="00FC6FF4" w:rsidRPr="000A4DCB" w14:paraId="01B7E42D" w14:textId="77777777" w:rsidTr="00FE6DEA">
        <w:tc>
          <w:tcPr>
            <w:tcW w:w="2770" w:type="dxa"/>
          </w:tcPr>
          <w:p w14:paraId="24C51346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378135BA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Exterior diameter [m]</w:t>
            </w:r>
          </w:p>
          <w:p w14:paraId="72F6FD7B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08673A85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7B3CA3E7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below 24</w:t>
            </w:r>
          </w:p>
        </w:tc>
        <w:tc>
          <w:tcPr>
            <w:tcW w:w="1530" w:type="dxa"/>
          </w:tcPr>
          <w:p w14:paraId="6068DFD5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325FE597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from 24 to 30</w:t>
            </w:r>
          </w:p>
        </w:tc>
        <w:tc>
          <w:tcPr>
            <w:tcW w:w="1890" w:type="dxa"/>
          </w:tcPr>
          <w:p w14:paraId="23F7AB52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6F743DFB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above 30 to 36</w:t>
            </w:r>
          </w:p>
        </w:tc>
        <w:tc>
          <w:tcPr>
            <w:tcW w:w="1580" w:type="dxa"/>
          </w:tcPr>
          <w:p w14:paraId="597AB42D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535F1510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above 36</w:t>
            </w:r>
          </w:p>
        </w:tc>
      </w:tr>
      <w:tr w:rsidR="00FC6FF4" w:rsidRPr="000A4DCB" w14:paraId="6DBEF82F" w14:textId="77777777" w:rsidTr="00FE6DEA">
        <w:tc>
          <w:tcPr>
            <w:tcW w:w="2770" w:type="dxa"/>
          </w:tcPr>
          <w:p w14:paraId="06B95244" w14:textId="77777777" w:rsidR="00FC6FF4" w:rsidRPr="000A4DCB" w:rsidRDefault="00FC6FF4" w:rsidP="00A60238">
            <w:pPr>
              <w:pStyle w:val="BodyTextIndent"/>
              <w:ind w:firstLine="0"/>
              <w:jc w:val="left"/>
              <w:rPr>
                <w:bCs/>
                <w:szCs w:val="24"/>
                <w:lang w:val="en-GB"/>
              </w:rPr>
            </w:pPr>
          </w:p>
          <w:p w14:paraId="0E95ABDD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Critical gap [s]</w:t>
            </w:r>
          </w:p>
          <w:p w14:paraId="1EEEE763" w14:textId="77777777" w:rsidR="00FC6FF4" w:rsidRPr="000A4DCB" w:rsidRDefault="00FC6FF4" w:rsidP="00A60238">
            <w:pPr>
              <w:pStyle w:val="BodyTextIndent"/>
              <w:ind w:firstLine="0"/>
              <w:jc w:val="left"/>
              <w:rPr>
                <w:bCs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4E2F8EB4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11826766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5.0</w:t>
            </w:r>
          </w:p>
        </w:tc>
        <w:tc>
          <w:tcPr>
            <w:tcW w:w="1530" w:type="dxa"/>
          </w:tcPr>
          <w:p w14:paraId="52C56150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793308CF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4.8</w:t>
            </w:r>
          </w:p>
        </w:tc>
        <w:tc>
          <w:tcPr>
            <w:tcW w:w="1890" w:type="dxa"/>
          </w:tcPr>
          <w:p w14:paraId="35E5E9BB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50448093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4.6</w:t>
            </w:r>
          </w:p>
        </w:tc>
        <w:tc>
          <w:tcPr>
            <w:tcW w:w="1580" w:type="dxa"/>
          </w:tcPr>
          <w:p w14:paraId="6F0578D7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3FF9D075" w14:textId="77777777" w:rsidR="00FC6FF4" w:rsidRPr="000A4DCB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0A4DCB">
              <w:rPr>
                <w:bCs/>
                <w:szCs w:val="24"/>
                <w:lang w:val="en-GB"/>
              </w:rPr>
              <w:t>4.5</w:t>
            </w:r>
          </w:p>
        </w:tc>
      </w:tr>
    </w:tbl>
    <w:p w14:paraId="67A78245" w14:textId="70A82D0B" w:rsidR="004B168A" w:rsidRPr="000A4DCB" w:rsidRDefault="009A752D" w:rsidP="00A602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A4DCB">
        <w:rPr>
          <w:rFonts w:ascii="Times New Roman" w:hAnsi="Times New Roman" w:cs="Times New Roman"/>
          <w:b/>
          <w:bCs/>
          <w:sz w:val="24"/>
          <w:szCs w:val="24"/>
          <w:lang w:val="en-US"/>
        </w:rPr>
        <w:t>Source</w:t>
      </w:r>
      <w:r w:rsidR="004B168A" w:rsidRPr="000A4D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4B168A" w:rsidRPr="000A4DCB">
        <w:rPr>
          <w:rFonts w:ascii="Times New Roman" w:hAnsi="Times New Roman" w:cs="Times New Roman"/>
          <w:bCs/>
          <w:sz w:val="24"/>
          <w:szCs w:val="24"/>
          <w:lang w:val="bg-BG"/>
        </w:rPr>
        <w:fldChar w:fldCharType="begin"/>
      </w:r>
      <w:r w:rsidR="004B168A" w:rsidRPr="000A4DCB">
        <w:rPr>
          <w:rFonts w:ascii="Times New Roman" w:hAnsi="Times New Roman" w:cs="Times New Roman"/>
          <w:bCs/>
          <w:sz w:val="24"/>
          <w:szCs w:val="24"/>
          <w:lang w:val="bg-BG"/>
        </w:rPr>
        <w:instrText xml:space="preserve"> ADDIN ZOTERO_ITEM CSL_CITATION {"citationID":"XxmMWIKu","properties":{"formattedCitation":"(\\uc0\\u1042{}\\uc0\\u1086{}\\uc0\\u1076{}\\uc0\\u1077{}\\uc0\\u1085{}\\uc0\\u1080{}\\uc0\\u1095{}\\uc0\\u1072{}\\uc0\\u1088{}\\uc0\\u1086{}\\uc0\\u1074{}\\uc0\\u1072{}, \\uc0\\u1052{}., 2013)","plainCitation":"(Воденичарова, М., 2013)","noteIndex":0},"citationItems":[{"id":59,"uris":["http://zotero.org/users/local/nX84S1jw/items/M4NFTREE"],"uri":["http://zotero.org/users/local/nX84S1jw/items/M4NFTREE"],"itemData":{"id":59,"type":"paper-conference","event":"Единадесета национална младежка научно-практическа сесия","event-place":"София","language":"български","page":"71-75","publisher-place":"София","title":"Модел за качество на логистичното обслужване","author":[{"literal":"Воденичарова, М.,"}],"issued":{"date-parts":[["2013"]]}}}],"schema":"https://github.com/citation-style-language/schema/raw/master/csl-citation.json"} </w:instrText>
      </w:r>
      <w:r w:rsidR="004B168A" w:rsidRPr="000A4DCB">
        <w:rPr>
          <w:rFonts w:ascii="Times New Roman" w:hAnsi="Times New Roman" w:cs="Times New Roman"/>
          <w:bCs/>
          <w:sz w:val="24"/>
          <w:szCs w:val="24"/>
          <w:lang w:val="bg-BG"/>
        </w:rPr>
        <w:fldChar w:fldCharType="separate"/>
      </w:r>
      <w:r w:rsidR="004B168A" w:rsidRPr="000A4DCB">
        <w:rPr>
          <w:rFonts w:ascii="Times New Roman" w:hAnsi="Times New Roman" w:cs="Times New Roman"/>
          <w:sz w:val="24"/>
          <w:szCs w:val="24"/>
        </w:rPr>
        <w:t>(Воденичарова, М., 2013)</w:t>
      </w:r>
      <w:r w:rsidR="004B168A" w:rsidRPr="000A4DCB">
        <w:rPr>
          <w:rFonts w:ascii="Times New Roman" w:hAnsi="Times New Roman" w:cs="Times New Roman"/>
          <w:bCs/>
          <w:sz w:val="24"/>
          <w:szCs w:val="24"/>
          <w:lang w:val="bg-BG"/>
        </w:rPr>
        <w:fldChar w:fldCharType="end"/>
      </w:r>
    </w:p>
    <w:p w14:paraId="12CE235F" w14:textId="77777777" w:rsidR="004B168A" w:rsidRPr="000A4DCB" w:rsidRDefault="004B168A" w:rsidP="00A602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5B05448" w14:textId="77777777" w:rsidR="004A7F88" w:rsidRPr="000A4DCB" w:rsidRDefault="004A7F88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0A4DCB">
        <w:rPr>
          <w:rFonts w:ascii="Times New Roman" w:hAnsi="Times New Roman" w:cs="Times New Roman"/>
          <w:b/>
          <w:bCs/>
          <w:sz w:val="24"/>
          <w:szCs w:val="24"/>
          <w:lang w:val="bg-BG"/>
        </w:rPr>
        <w:t>Figures</w:t>
      </w:r>
      <w:proofErr w:type="spellEnd"/>
      <w:r w:rsidRPr="000A4D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04C6E9F6" w14:textId="55D8A629" w:rsidR="00D97921" w:rsidRPr="000A4DCB" w:rsidRDefault="009A752D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figures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606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be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legible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description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text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should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be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sufficient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its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proper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understanding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There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606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be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title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below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06D">
        <w:rPr>
          <w:rFonts w:ascii="Times New Roman" w:hAnsi="Times New Roman" w:cs="Times New Roman"/>
          <w:sz w:val="24"/>
          <w:szCs w:val="24"/>
          <w:lang w:val="bg-BG"/>
        </w:rPr>
        <w:t>figure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606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Font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: 12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left</w:t>
      </w:r>
      <w:proofErr w:type="spellEnd"/>
      <w:r w:rsidR="00F660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example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figure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sz w:val="24"/>
          <w:szCs w:val="24"/>
          <w:lang w:val="bg-BG"/>
        </w:rPr>
        <w:t>provided</w:t>
      </w:r>
      <w:proofErr w:type="spellEnd"/>
      <w:r w:rsidRPr="000A4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606D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The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citation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of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the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source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used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is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mandatory</w:t>
      </w:r>
      <w:proofErr w:type="spellEnd"/>
      <w:r w:rsidRPr="000A4DC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205B491F" w14:textId="7CA16389" w:rsidR="00D97921" w:rsidRPr="000A4DCB" w:rsidRDefault="00D97921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sz w:val="24"/>
          <w:szCs w:val="24"/>
        </w:rPr>
        <w:t>##</w:t>
      </w:r>
    </w:p>
    <w:p w14:paraId="56747574" w14:textId="111262C6" w:rsidR="00D97921" w:rsidRPr="000A4DCB" w:rsidRDefault="005954EA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09640D1D" wp14:editId="0C8B2AAB">
            <wp:extent cx="5172075" cy="28670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778D53" w14:textId="06CB9E27" w:rsidR="00D97921" w:rsidRPr="000A4DCB" w:rsidRDefault="004A7F8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Figure</w:t>
      </w:r>
      <w:r w:rsidR="00D97921" w:rsidRPr="000A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="00D97921" w:rsidRPr="000A4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Logistics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market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segments</w:t>
      </w:r>
      <w:proofErr w:type="spellEnd"/>
    </w:p>
    <w:p w14:paraId="048E4457" w14:textId="25BE734B" w:rsidR="00D97A41" w:rsidRPr="000A4DCB" w:rsidRDefault="004A7F8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Source</w:t>
      </w:r>
      <w:r w:rsidR="00D97A41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:</w:t>
      </w:r>
      <w:r w:rsidR="00D97A41"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r w:rsidR="00D97A41"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fldChar w:fldCharType="begin"/>
      </w:r>
      <w:r w:rsidR="00D97A41"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instrText xml:space="preserve"> ADDIN ZOTERO_ITEM CSL_CITATION {"citationID":"p4UC3SQV","properties":{"formattedCitation":"(Vodenicharova, Maria, 2016)","plainCitation":"(Vodenicharova, Maria, 2016)","noteIndex":0},"citationItems":[{"id":50,"uris":["http://zotero.org/users/local/nX84S1jw/items/GTE8DI8B"],"uri":["http://zotero.org/users/local/nX84S1jw/items/GTE8DI8B"],"itemData":{"id":50,"type":"article-journal","abstract":"Volume VII","collection-title":"MIT Press","container-title":"Massachusetts Review of Science and Technologies","issue":"1","language":"английски","page":"210-217","title":"Analysis of logistics market in Bulgaria for the period 2010-2016","volume":"№ 1(13)","author":[{"family":"Vodenicharova, Maria","given":""}],"issued":{"date-parts":[["2016",6]]}}}],"schema":"https://github.com/citation-style-language/schema/raw/master/csl-citation.json"} </w:instrText>
      </w:r>
      <w:r w:rsidR="00D97A41"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fldChar w:fldCharType="separate"/>
      </w:r>
      <w:r w:rsidR="00D97A41" w:rsidRPr="000A4DCB">
        <w:rPr>
          <w:rFonts w:ascii="Times New Roman" w:hAnsi="Times New Roman" w:cs="Times New Roman"/>
          <w:sz w:val="24"/>
          <w:szCs w:val="24"/>
        </w:rPr>
        <w:t>(Vodenicharova, Maria, 2016)</w:t>
      </w:r>
      <w:r w:rsidR="00D97A41" w:rsidRPr="000A4DCB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fldChar w:fldCharType="end"/>
      </w:r>
    </w:p>
    <w:p w14:paraId="7C75A3E2" w14:textId="77777777" w:rsidR="00D97921" w:rsidRPr="000A4DCB" w:rsidRDefault="00D9792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19CD1D96" w14:textId="07AE0522" w:rsidR="00D97921" w:rsidRPr="000A4DCB" w:rsidRDefault="00D9792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29E3910B" w14:textId="3C0750A2" w:rsidR="004C3447" w:rsidRPr="000A4DCB" w:rsidRDefault="00BA1669" w:rsidP="00A60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proofErr w:type="spellStart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Conclusion</w:t>
      </w:r>
      <w:proofErr w:type="spellEnd"/>
      <w:r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</w:t>
      </w:r>
      <w:r w:rsidR="008F5BFF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(</w:t>
      </w:r>
      <w:r w:rsidR="008F5BFF"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bold</w:t>
      </w:r>
      <w:r w:rsidR="008F5BFF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r w:rsidR="008F5BFF" w:rsidRPr="000A4D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Justified</w:t>
      </w:r>
      <w:r w:rsidR="008F5BFF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)</w:t>
      </w:r>
    </w:p>
    <w:p w14:paraId="0E375FFA" w14:textId="02F885AB" w:rsidR="00581209" w:rsidRPr="000A4DCB" w:rsidRDefault="00BA1669" w:rsidP="00A602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conclusion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should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comprises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main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findings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of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study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recommendations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made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and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outstanding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issues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that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are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suitable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for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future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studies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</w:t>
      </w:r>
    </w:p>
    <w:p w14:paraId="01B34935" w14:textId="77777777" w:rsidR="004C3447" w:rsidRPr="000A4DCB" w:rsidRDefault="004C3447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560C1DE4" w14:textId="77777777" w:rsidR="004C3447" w:rsidRPr="000A4DCB" w:rsidRDefault="004C3447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3A07A72B" w14:textId="4EA37885" w:rsidR="00D97921" w:rsidRPr="000A4DCB" w:rsidRDefault="00BA1669" w:rsidP="00A60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References</w:t>
      </w:r>
      <w:proofErr w:type="spellEnd"/>
      <w:r w:rsidR="00C32BEB"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 xml:space="preserve"> </w:t>
      </w:r>
      <w:r w:rsidR="00C32BEB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(</w:t>
      </w:r>
      <w:r w:rsidR="00C32BEB" w:rsidRPr="000A4DC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bold</w:t>
      </w:r>
      <w:r w:rsidR="00C32BEB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r w:rsidR="00C32BEB" w:rsidRPr="000A4D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Justified</w:t>
      </w:r>
      <w:r w:rsidR="00C32BEB" w:rsidRPr="000A4DC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)</w:t>
      </w:r>
    </w:p>
    <w:p w14:paraId="2FAAF40D" w14:textId="3607BED3" w:rsidR="00D97921" w:rsidRPr="000A4DCB" w:rsidRDefault="00D9792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A4D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##</w:t>
      </w:r>
    </w:p>
    <w:p w14:paraId="605BFD05" w14:textId="357C0582" w:rsidR="00D97921" w:rsidRPr="000A4DCB" w:rsidRDefault="00BA1669" w:rsidP="00BA1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lastRenderedPageBreak/>
        <w:t>References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from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Zotero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are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automatically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generated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by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the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proofErr w:type="spellStart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command</w:t>
      </w:r>
      <w:proofErr w:type="spellEnd"/>
      <w:r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:</w:t>
      </w:r>
      <w:r w:rsidR="000F3F83" w:rsidRPr="000A4DC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0F3F83" w:rsidRPr="000A4DC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Add/Edit Bibliography.</w:t>
      </w:r>
    </w:p>
    <w:p w14:paraId="7A71BABA" w14:textId="77777777" w:rsidR="000F3F83" w:rsidRPr="000A4DCB" w:rsidRDefault="000F3F83" w:rsidP="00BA1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78156209" w14:textId="77777777" w:rsidR="000F3F83" w:rsidRPr="000A4DCB" w:rsidRDefault="000F3F83" w:rsidP="00BA1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43721FB1" w14:textId="0A97F75A" w:rsidR="000F3F83" w:rsidRPr="000A4DCB" w:rsidRDefault="000F3F83" w:rsidP="00BA166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fldChar w:fldCharType="begin"/>
      </w: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instrText xml:space="preserve"> ADDIN ZOTERO_BIBL {"uncited":[],"omitted":[],"custom":[]} CSL_BIBLIOGRAPHY </w:instrText>
      </w: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fldChar w:fldCharType="separate"/>
      </w:r>
      <w:r w:rsidRPr="000A4DCB">
        <w:rPr>
          <w:rFonts w:ascii="Times New Roman" w:hAnsi="Times New Roman" w:cs="Times New Roman"/>
          <w:sz w:val="24"/>
          <w:szCs w:val="24"/>
        </w:rPr>
        <w:t>Rakovska, M., Ivanov, N., Vodenicharova, M., 2014. Logistics development in Bulgarian processing and trading companies, IK-UNWE. ed. Sofia.</w:t>
      </w:r>
    </w:p>
    <w:p w14:paraId="0C36A94A" w14:textId="77777777" w:rsidR="000F3F83" w:rsidRPr="000A4DCB" w:rsidRDefault="000F3F83" w:rsidP="00BA166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sz w:val="24"/>
          <w:szCs w:val="24"/>
        </w:rPr>
        <w:t>Vodenicharova, Maria, 2016. Analysis of logistics market in Bulgaria for the period 2010-2016. Massachusetts Review of Science and Technologies, MIT Press № 1(13), 210–217.</w:t>
      </w:r>
    </w:p>
    <w:p w14:paraId="0196232E" w14:textId="77777777" w:rsidR="000F3F83" w:rsidRPr="000A4DCB" w:rsidRDefault="000F3F83" w:rsidP="00BA166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0A4DCB">
        <w:rPr>
          <w:rFonts w:ascii="Times New Roman" w:hAnsi="Times New Roman" w:cs="Times New Roman"/>
          <w:sz w:val="24"/>
          <w:szCs w:val="24"/>
        </w:rPr>
        <w:t>Воденичарова, М., 2013. Модел за качество на логистичното обслужване. Presented at the Единадесета национална младежка научно-практическа сесия, София, pp. 71–75.</w:t>
      </w:r>
    </w:p>
    <w:p w14:paraId="6F35E2AB" w14:textId="0A97F75A" w:rsidR="000F3F83" w:rsidRPr="00A60238" w:rsidRDefault="000F3F83" w:rsidP="00BA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4DCB">
        <w:rPr>
          <w:rFonts w:ascii="Times New Roman" w:eastAsia="Times New Roman" w:hAnsi="Times New Roman" w:cs="Times New Roman"/>
          <w:sz w:val="24"/>
          <w:szCs w:val="24"/>
          <w:lang w:eastAsia="x-none"/>
        </w:rPr>
        <w:fldChar w:fldCharType="end"/>
      </w:r>
    </w:p>
    <w:sectPr w:rsidR="000F3F83" w:rsidRPr="00A6023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1E43" w14:textId="77777777" w:rsidR="00AB0F5D" w:rsidRDefault="00AB0F5D" w:rsidP="00917657">
      <w:pPr>
        <w:spacing w:after="0" w:line="240" w:lineRule="auto"/>
      </w:pPr>
      <w:r>
        <w:separator/>
      </w:r>
    </w:p>
  </w:endnote>
  <w:endnote w:type="continuationSeparator" w:id="0">
    <w:p w14:paraId="7E82651C" w14:textId="77777777" w:rsidR="00AB0F5D" w:rsidRDefault="00AB0F5D" w:rsidP="009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7487" w14:textId="77777777" w:rsidR="00AB0F5D" w:rsidRDefault="00AB0F5D" w:rsidP="00917657">
      <w:pPr>
        <w:spacing w:after="0" w:line="240" w:lineRule="auto"/>
      </w:pPr>
      <w:r>
        <w:separator/>
      </w:r>
    </w:p>
  </w:footnote>
  <w:footnote w:type="continuationSeparator" w:id="0">
    <w:p w14:paraId="6180F832" w14:textId="77777777" w:rsidR="00AB0F5D" w:rsidRDefault="00AB0F5D" w:rsidP="0091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5071" w14:textId="77777777" w:rsidR="00917657" w:rsidRDefault="00917657" w:rsidP="009176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INFRASTRUCTURE</w:t>
    </w:r>
    <w:r w:rsidRPr="001967CB">
      <w:rPr>
        <w:rFonts w:ascii="Times New Roman" w:hAnsi="Times New Roman" w:cs="Times New Roman"/>
        <w:b/>
        <w:sz w:val="24"/>
        <w:szCs w:val="24"/>
      </w:rPr>
      <w:t xml:space="preserve">: </w:t>
    </w:r>
    <w:r>
      <w:rPr>
        <w:rFonts w:ascii="Times New Roman" w:hAnsi="Times New Roman" w:cs="Times New Roman"/>
        <w:b/>
        <w:sz w:val="24"/>
        <w:szCs w:val="24"/>
        <w:lang w:val="en-US"/>
      </w:rPr>
      <w:t>BUSINESS AND COMMUNICATIONS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2E5F602" w14:textId="46781495" w:rsidR="00917657" w:rsidRPr="00917657" w:rsidRDefault="00917657" w:rsidP="00917657">
    <w:pPr>
      <w:pStyle w:val="Header"/>
      <w:jc w:val="center"/>
      <w:rPr>
        <w:lang w:val="en-US"/>
      </w:rPr>
    </w:pPr>
    <w:r w:rsidRPr="007B1FF8">
      <w:t>International Doctoral and Students Scientific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69D"/>
    <w:multiLevelType w:val="hybridMultilevel"/>
    <w:tmpl w:val="2DA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898"/>
    <w:multiLevelType w:val="multilevel"/>
    <w:tmpl w:val="33744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152F99"/>
    <w:multiLevelType w:val="hybridMultilevel"/>
    <w:tmpl w:val="9D484938"/>
    <w:lvl w:ilvl="0" w:tplc="43E07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66"/>
    <w:rsid w:val="000754EB"/>
    <w:rsid w:val="00097D26"/>
    <w:rsid w:val="000A4DCB"/>
    <w:rsid w:val="000B122F"/>
    <w:rsid w:val="000C7D94"/>
    <w:rsid w:val="000F3F83"/>
    <w:rsid w:val="000F4545"/>
    <w:rsid w:val="0011097C"/>
    <w:rsid w:val="00121E98"/>
    <w:rsid w:val="00124813"/>
    <w:rsid w:val="00165471"/>
    <w:rsid w:val="00166C3B"/>
    <w:rsid w:val="00196C43"/>
    <w:rsid w:val="001A2688"/>
    <w:rsid w:val="001A6D89"/>
    <w:rsid w:val="001B3EEC"/>
    <w:rsid w:val="00200F23"/>
    <w:rsid w:val="002019EC"/>
    <w:rsid w:val="00203204"/>
    <w:rsid w:val="0020621A"/>
    <w:rsid w:val="00220C7E"/>
    <w:rsid w:val="0022620C"/>
    <w:rsid w:val="00232463"/>
    <w:rsid w:val="00293E67"/>
    <w:rsid w:val="002A7AB7"/>
    <w:rsid w:val="002C2894"/>
    <w:rsid w:val="002C356F"/>
    <w:rsid w:val="002D6500"/>
    <w:rsid w:val="002E7837"/>
    <w:rsid w:val="00361DF0"/>
    <w:rsid w:val="0036208C"/>
    <w:rsid w:val="00372BFC"/>
    <w:rsid w:val="003A66FD"/>
    <w:rsid w:val="003A6B50"/>
    <w:rsid w:val="003B3A97"/>
    <w:rsid w:val="003D54F1"/>
    <w:rsid w:val="0043450F"/>
    <w:rsid w:val="00446CA5"/>
    <w:rsid w:val="00454076"/>
    <w:rsid w:val="00456FB3"/>
    <w:rsid w:val="0046721B"/>
    <w:rsid w:val="0048149E"/>
    <w:rsid w:val="0048330D"/>
    <w:rsid w:val="004844C5"/>
    <w:rsid w:val="00485B3C"/>
    <w:rsid w:val="004912A2"/>
    <w:rsid w:val="004953A0"/>
    <w:rsid w:val="004A7F88"/>
    <w:rsid w:val="004B168A"/>
    <w:rsid w:val="004C3447"/>
    <w:rsid w:val="004C3CFB"/>
    <w:rsid w:val="004D1E8E"/>
    <w:rsid w:val="005367B1"/>
    <w:rsid w:val="005503A2"/>
    <w:rsid w:val="00581209"/>
    <w:rsid w:val="005914E5"/>
    <w:rsid w:val="005954EA"/>
    <w:rsid w:val="005E112E"/>
    <w:rsid w:val="005E1826"/>
    <w:rsid w:val="005E1DEA"/>
    <w:rsid w:val="005E51E1"/>
    <w:rsid w:val="005F3075"/>
    <w:rsid w:val="006371BD"/>
    <w:rsid w:val="006375E3"/>
    <w:rsid w:val="006438E7"/>
    <w:rsid w:val="00685C66"/>
    <w:rsid w:val="00695413"/>
    <w:rsid w:val="006D70E2"/>
    <w:rsid w:val="006E2975"/>
    <w:rsid w:val="00702812"/>
    <w:rsid w:val="00703F66"/>
    <w:rsid w:val="007055B7"/>
    <w:rsid w:val="007425B1"/>
    <w:rsid w:val="00742629"/>
    <w:rsid w:val="00760742"/>
    <w:rsid w:val="00796AF8"/>
    <w:rsid w:val="007A1FF1"/>
    <w:rsid w:val="007B36FC"/>
    <w:rsid w:val="007B5C01"/>
    <w:rsid w:val="007F7042"/>
    <w:rsid w:val="008037B7"/>
    <w:rsid w:val="0081488B"/>
    <w:rsid w:val="00840DCC"/>
    <w:rsid w:val="00853F66"/>
    <w:rsid w:val="00875289"/>
    <w:rsid w:val="00876800"/>
    <w:rsid w:val="00880772"/>
    <w:rsid w:val="00884759"/>
    <w:rsid w:val="0088675E"/>
    <w:rsid w:val="00890413"/>
    <w:rsid w:val="008B0671"/>
    <w:rsid w:val="008B26D2"/>
    <w:rsid w:val="008B43DB"/>
    <w:rsid w:val="008E38EB"/>
    <w:rsid w:val="008F5BFF"/>
    <w:rsid w:val="00917657"/>
    <w:rsid w:val="009267E2"/>
    <w:rsid w:val="00936EA6"/>
    <w:rsid w:val="00941989"/>
    <w:rsid w:val="009472E6"/>
    <w:rsid w:val="00950EF5"/>
    <w:rsid w:val="00967EE2"/>
    <w:rsid w:val="0099015A"/>
    <w:rsid w:val="00993D8E"/>
    <w:rsid w:val="009A110F"/>
    <w:rsid w:val="009A4F0C"/>
    <w:rsid w:val="009A752D"/>
    <w:rsid w:val="009B0540"/>
    <w:rsid w:val="009E1A58"/>
    <w:rsid w:val="00A0079E"/>
    <w:rsid w:val="00A225BD"/>
    <w:rsid w:val="00A45398"/>
    <w:rsid w:val="00A45D36"/>
    <w:rsid w:val="00A528F2"/>
    <w:rsid w:val="00A60238"/>
    <w:rsid w:val="00A757F2"/>
    <w:rsid w:val="00A76FE3"/>
    <w:rsid w:val="00AB0F5D"/>
    <w:rsid w:val="00AD6501"/>
    <w:rsid w:val="00B32F49"/>
    <w:rsid w:val="00B349E9"/>
    <w:rsid w:val="00B42B73"/>
    <w:rsid w:val="00BA1669"/>
    <w:rsid w:val="00BB070B"/>
    <w:rsid w:val="00BB744B"/>
    <w:rsid w:val="00BC7F13"/>
    <w:rsid w:val="00BF4A22"/>
    <w:rsid w:val="00C200E8"/>
    <w:rsid w:val="00C32BEB"/>
    <w:rsid w:val="00C62438"/>
    <w:rsid w:val="00C92523"/>
    <w:rsid w:val="00CA6BBD"/>
    <w:rsid w:val="00CB4345"/>
    <w:rsid w:val="00CD5F01"/>
    <w:rsid w:val="00CE3A53"/>
    <w:rsid w:val="00D1318A"/>
    <w:rsid w:val="00D139F5"/>
    <w:rsid w:val="00D218A9"/>
    <w:rsid w:val="00D2667B"/>
    <w:rsid w:val="00D41185"/>
    <w:rsid w:val="00D447C2"/>
    <w:rsid w:val="00D529CB"/>
    <w:rsid w:val="00D578E9"/>
    <w:rsid w:val="00D97921"/>
    <w:rsid w:val="00D97A41"/>
    <w:rsid w:val="00DD1DD0"/>
    <w:rsid w:val="00DF191D"/>
    <w:rsid w:val="00E2094E"/>
    <w:rsid w:val="00E36D2E"/>
    <w:rsid w:val="00E74CD6"/>
    <w:rsid w:val="00E83608"/>
    <w:rsid w:val="00E975C7"/>
    <w:rsid w:val="00EC5A6C"/>
    <w:rsid w:val="00ED7337"/>
    <w:rsid w:val="00EE61D4"/>
    <w:rsid w:val="00EF1C3F"/>
    <w:rsid w:val="00EF2A8F"/>
    <w:rsid w:val="00F24FCF"/>
    <w:rsid w:val="00F37DE0"/>
    <w:rsid w:val="00F50ED0"/>
    <w:rsid w:val="00F61A62"/>
    <w:rsid w:val="00F6606D"/>
    <w:rsid w:val="00F70026"/>
    <w:rsid w:val="00F7490F"/>
    <w:rsid w:val="00F75FB0"/>
    <w:rsid w:val="00FC6FF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DDE2"/>
  <w15:chartTrackingRefBased/>
  <w15:docId w15:val="{277F1188-47F0-4B16-9225-609AEFF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5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56F"/>
    <w:pPr>
      <w:ind w:left="720"/>
      <w:contextualSpacing/>
    </w:pPr>
  </w:style>
  <w:style w:type="paragraph" w:styleId="Header">
    <w:name w:val="header"/>
    <w:basedOn w:val="Normal"/>
    <w:link w:val="HeaderChar"/>
    <w:rsid w:val="00FC6F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6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FC6FF4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8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FC6FF4"/>
    <w:rPr>
      <w:rFonts w:ascii="Times New Roman" w:eastAsia="Times New Roman" w:hAnsi="Times New Roman" w:cs="Times New Roman"/>
      <w:sz w:val="24"/>
      <w:szCs w:val="28"/>
      <w:lang w:val="pl-PL" w:eastAsia="pl-PL"/>
    </w:rPr>
  </w:style>
  <w:style w:type="paragraph" w:styleId="Bibliography">
    <w:name w:val="Bibliography"/>
    <w:basedOn w:val="Normal"/>
    <w:next w:val="Normal"/>
    <w:uiPriority w:val="37"/>
    <w:unhideWhenUsed/>
    <w:rsid w:val="000F3F83"/>
    <w:pPr>
      <w:spacing w:after="0" w:line="24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91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oter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Логистични пазарни сегменти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9E6-4B18-B10F-8DB8E2279AF4}"/>
              </c:ext>
            </c:extLst>
          </c:dPt>
          <c:dPt>
            <c:idx val="1"/>
            <c:bubble3D val="0"/>
            <c:spPr>
              <a:solidFill>
                <a:schemeClr val="accent3">
                  <a:shade val="7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9E6-4B18-B10F-8DB8E2279AF4}"/>
              </c:ext>
            </c:extLst>
          </c:dPt>
          <c:dPt>
            <c:idx val="2"/>
            <c:bubble3D val="0"/>
            <c:spPr>
              <a:solidFill>
                <a:schemeClr val="accent3">
                  <a:shade val="9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9E6-4B18-B10F-8DB8E2279AF4}"/>
              </c:ext>
            </c:extLst>
          </c:dPt>
          <c:dPt>
            <c:idx val="3"/>
            <c:bubble3D val="0"/>
            <c:spPr>
              <a:solidFill>
                <a:schemeClr val="accent3">
                  <a:tint val="9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9E6-4B18-B10F-8DB8E2279AF4}"/>
              </c:ext>
            </c:extLst>
          </c:dPt>
          <c:dPt>
            <c:idx val="4"/>
            <c:bubble3D val="0"/>
            <c:spPr>
              <a:solidFill>
                <a:schemeClr val="accent3">
                  <a:tint val="7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9E6-4B18-B10F-8DB8E2279AF4}"/>
              </c:ext>
            </c:extLst>
          </c:dPt>
          <c:dPt>
            <c:idx val="5"/>
            <c:bubble3D val="0"/>
            <c:spPr>
              <a:solidFill>
                <a:schemeClr val="accent3">
                  <a:tint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9E6-4B18-B10F-8DB8E2279AF4}"/>
              </c:ext>
            </c:extLst>
          </c:dPt>
          <c:dLbls>
            <c:dLbl>
              <c:idx val="0"/>
              <c:layout>
                <c:manualLayout>
                  <c:x val="8.6131968310591014E-2"/>
                  <c:y val="1.05771662263147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Air transport</a:t>
                    </a:r>
                    <a:r>
                      <a:rPr lang="en-US" baseline="0"/>
                      <a:t>
</a:t>
                    </a:r>
                    <a:fld id="{1607D3CC-99EC-4C5A-82B4-2E4F11F4ACD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57353606661238"/>
                      <c:h val="0.2129840826348319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E6-4B18-B10F-8DB8E2279AF4}"/>
                </c:ext>
              </c:extLst>
            </c:dLbl>
            <c:dLbl>
              <c:idx val="1"/>
              <c:layout>
                <c:manualLayout>
                  <c:x val="3.7355617904083829E-2"/>
                  <c:y val="2.4669376005418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Water transport</a:t>
                    </a:r>
                    <a:r>
                      <a:rPr lang="en-US" baseline="0"/>
                      <a:t>
</a:t>
                    </a:r>
                    <a:fld id="{64077C50-DBDD-4040-8E72-D4FB4635EDA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9E6-4B18-B10F-8DB8E2279AF4}"/>
                </c:ext>
              </c:extLst>
            </c:dLbl>
            <c:dLbl>
              <c:idx val="2"/>
              <c:layout>
                <c:manualLayout>
                  <c:x val="2.7099888376022056E-2"/>
                  <c:y val="-4.13881127762255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Warehouse services</a:t>
                    </a:r>
                    <a:r>
                      <a:rPr lang="en-US" baseline="0"/>
                      <a:t>
</a:t>
                    </a:r>
                    <a:fld id="{BA0971CC-A7B1-4AF2-BBBE-E6274401275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9E6-4B18-B10F-8DB8E2279AF4}"/>
                </c:ext>
              </c:extLst>
            </c:dLbl>
            <c:dLbl>
              <c:idx val="3"/>
              <c:layout>
                <c:manualLayout>
                  <c:x val="-0.18489315272372564"/>
                  <c:y val="-3.41391178242806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Road</a:t>
                    </a:r>
                    <a:r>
                      <a:rPr lang="en-US" baseline="0"/>
                      <a:t> transport</a:t>
                    </a:r>
                    <a:r>
                      <a:rPr lang="en-US"/>
                      <a:t>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57098178819602"/>
                      <c:h val="0.205525496083417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9E6-4B18-B10F-8DB8E2279AF4}"/>
                </c:ext>
              </c:extLst>
            </c:dLbl>
            <c:dLbl>
              <c:idx val="4"/>
              <c:layout>
                <c:manualLayout>
                  <c:x val="-3.8027574139439468E-2"/>
                  <c:y val="-5.505560832133337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Courier services </a:t>
                    </a:r>
                    <a:fld id="{05A0E524-C9C8-4B1F-809B-F978B8254BF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9E6-4B18-B10F-8DB8E2279AF4}"/>
                </c:ext>
              </c:extLst>
            </c:dLbl>
            <c:dLbl>
              <c:idx val="5"/>
              <c:layout>
                <c:manualLayout>
                  <c:x val="-3.9170161201114231E-2"/>
                  <c:y val="-9.3515936967023088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Outsourcing services</a:t>
                    </a:r>
                  </a:p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E6-4B18-B10F-8DB8E2279A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Въздушен транспорт</c:v>
                </c:pt>
                <c:pt idx="1">
                  <c:v>Воден транспорт</c:v>
                </c:pt>
                <c:pt idx="2">
                  <c:v>Складови услуги </c:v>
                </c:pt>
                <c:pt idx="3">
                  <c:v>Специализиран транпосрт</c:v>
                </c:pt>
                <c:pt idx="4">
                  <c:v>Куриерски услуги</c:v>
                </c:pt>
                <c:pt idx="5">
                  <c:v>Външни услуги 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0.09</c:v>
                </c:pt>
                <c:pt idx="1">
                  <c:v>0.03</c:v>
                </c:pt>
                <c:pt idx="2">
                  <c:v>0.11</c:v>
                </c:pt>
                <c:pt idx="3">
                  <c:v>0.15</c:v>
                </c:pt>
                <c:pt idx="4">
                  <c:v>0.09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E6-4B18-B10F-8DB8E2279A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Radostina Doychinova</cp:lastModifiedBy>
  <cp:revision>2</cp:revision>
  <dcterms:created xsi:type="dcterms:W3CDTF">2023-03-13T10:32:00Z</dcterms:created>
  <dcterms:modified xsi:type="dcterms:W3CDTF">2023-03-13T10:32:00Z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id="y33WsZwL"/&gt;&lt;style id="http://www.zotero.org/styles/elsevier-harvard" hasBibliography="1" bibliographyStyleHasBeenSet="1"/&gt;&lt;prefs&gt;&lt;pref name="fieldType" value="Field"/&gt;&lt;/prefs&gt;&lt;/data&gt;</vt:lpwstr>
  </property>
</Properties>
</file>